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5B0BE1" w14:textId="7BAFF80E" w:rsidR="003E6A94" w:rsidRPr="003E6A94" w:rsidRDefault="003E6A94" w:rsidP="003C0B5B">
      <w:pPr>
        <w:jc w:val="center"/>
        <w:outlineLvl w:val="0"/>
        <w:rPr>
          <w:rFonts w:ascii="Times New Roman" w:eastAsia="Times New Roman" w:hAnsi="Times New Roman" w:cs="Times New Roman"/>
          <w:bCs/>
          <w:kern w:val="36"/>
        </w:rPr>
      </w:pPr>
      <w:r w:rsidRPr="008F3C61">
        <w:rPr>
          <w:rFonts w:ascii="Times New Roman" w:eastAsia="Times New Roman" w:hAnsi="Times New Roman" w:cs="Times New Roman"/>
          <w:bCs/>
          <w:kern w:val="36"/>
        </w:rPr>
        <w:t xml:space="preserve">Module </w:t>
      </w:r>
      <w:r w:rsidRPr="003E6A94">
        <w:rPr>
          <w:rFonts w:ascii="Times New Roman" w:eastAsia="Times New Roman" w:hAnsi="Times New Roman" w:cs="Times New Roman"/>
          <w:bCs/>
          <w:kern w:val="36"/>
        </w:rPr>
        <w:t>5</w:t>
      </w:r>
    </w:p>
    <w:p w14:paraId="44E39034" w14:textId="77777777" w:rsidR="003E6A94" w:rsidRDefault="003E6A94" w:rsidP="003C0B5B">
      <w:pPr>
        <w:outlineLvl w:val="2"/>
        <w:rPr>
          <w:rFonts w:ascii="Times New Roman" w:eastAsia="Times New Roman" w:hAnsi="Times New Roman" w:cs="Times New Roman"/>
          <w:b/>
          <w:bCs/>
        </w:rPr>
      </w:pPr>
    </w:p>
    <w:p w14:paraId="691FF015" w14:textId="77777777" w:rsidR="003E6A94" w:rsidRPr="003E6A94" w:rsidRDefault="003E6A94" w:rsidP="003C0B5B">
      <w:pPr>
        <w:outlineLvl w:val="2"/>
        <w:rPr>
          <w:rFonts w:ascii="Times New Roman" w:eastAsia="Times New Roman" w:hAnsi="Times New Roman" w:cs="Times New Roman"/>
          <w:b/>
          <w:bCs/>
        </w:rPr>
      </w:pPr>
      <w:r w:rsidRPr="003E6A94">
        <w:rPr>
          <w:rFonts w:ascii="Times New Roman" w:eastAsia="Times New Roman" w:hAnsi="Times New Roman" w:cs="Times New Roman"/>
          <w:b/>
          <w:bCs/>
        </w:rPr>
        <w:t>Learning Objectives</w:t>
      </w:r>
    </w:p>
    <w:p w14:paraId="094A43A1" w14:textId="77777777" w:rsidR="003E6A94" w:rsidRPr="003E6A94" w:rsidRDefault="003E6A94" w:rsidP="003C0B5B">
      <w:pPr>
        <w:numPr>
          <w:ilvl w:val="0"/>
          <w:numId w:val="1"/>
        </w:numPr>
        <w:rPr>
          <w:rFonts w:ascii="Times New Roman" w:eastAsia="Times New Roman" w:hAnsi="Times New Roman" w:cs="Times New Roman"/>
        </w:rPr>
      </w:pPr>
      <w:r w:rsidRPr="003E6A94">
        <w:rPr>
          <w:rFonts w:ascii="Times New Roman" w:eastAsia="Times New Roman" w:hAnsi="Times New Roman" w:cs="Times New Roman"/>
        </w:rPr>
        <w:t>Analyze representations of women through works of global literature by female authors from different contexts</w:t>
      </w:r>
    </w:p>
    <w:p w14:paraId="01111D7B" w14:textId="77777777" w:rsidR="003E6A94" w:rsidRPr="003E6A94" w:rsidRDefault="003E6A94" w:rsidP="003C0B5B">
      <w:pPr>
        <w:numPr>
          <w:ilvl w:val="0"/>
          <w:numId w:val="1"/>
        </w:numPr>
        <w:rPr>
          <w:rFonts w:ascii="Times New Roman" w:eastAsia="Times New Roman" w:hAnsi="Times New Roman" w:cs="Times New Roman"/>
        </w:rPr>
      </w:pPr>
      <w:r w:rsidRPr="003E6A94">
        <w:rPr>
          <w:rFonts w:ascii="Times New Roman" w:eastAsia="Times New Roman" w:hAnsi="Times New Roman" w:cs="Times New Roman"/>
        </w:rPr>
        <w:t>Assess short stories by contemporary female authors in terms of their reworking of dominant narratives of gender</w:t>
      </w:r>
    </w:p>
    <w:p w14:paraId="08A4AEAF" w14:textId="77777777" w:rsidR="003E6A94" w:rsidRPr="003E6A94" w:rsidRDefault="003E6A94" w:rsidP="003C0B5B">
      <w:pPr>
        <w:numPr>
          <w:ilvl w:val="0"/>
          <w:numId w:val="1"/>
        </w:numPr>
        <w:rPr>
          <w:rFonts w:ascii="Times New Roman" w:eastAsia="Times New Roman" w:hAnsi="Times New Roman" w:cs="Times New Roman"/>
        </w:rPr>
      </w:pPr>
      <w:r w:rsidRPr="003E6A94">
        <w:rPr>
          <w:rFonts w:ascii="Times New Roman" w:eastAsia="Times New Roman" w:hAnsi="Times New Roman" w:cs="Times New Roman"/>
        </w:rPr>
        <w:t>Analyze how works of global literature critique relations of power in different cultural and historical contexts</w:t>
      </w:r>
    </w:p>
    <w:p w14:paraId="30CE2F7E" w14:textId="77777777" w:rsidR="003E6A94" w:rsidRPr="003E6A94" w:rsidRDefault="003E6A94" w:rsidP="003C0B5B">
      <w:pPr>
        <w:numPr>
          <w:ilvl w:val="0"/>
          <w:numId w:val="1"/>
        </w:numPr>
        <w:rPr>
          <w:rFonts w:ascii="Times New Roman" w:eastAsia="Times New Roman" w:hAnsi="Times New Roman" w:cs="Times New Roman"/>
        </w:rPr>
      </w:pPr>
      <w:r w:rsidRPr="003E6A94">
        <w:rPr>
          <w:rFonts w:ascii="Times New Roman" w:eastAsia="Times New Roman" w:hAnsi="Times New Roman" w:cs="Times New Roman"/>
        </w:rPr>
        <w:t>Select at least two credible and reliable secondary sources that can be used to support an original literary argument about two works of global literature</w:t>
      </w:r>
    </w:p>
    <w:p w14:paraId="7100B16D" w14:textId="77777777" w:rsidR="003E6A94" w:rsidRPr="003E6A94" w:rsidRDefault="003E6A94" w:rsidP="003C0B5B">
      <w:pPr>
        <w:numPr>
          <w:ilvl w:val="0"/>
          <w:numId w:val="1"/>
        </w:numPr>
        <w:rPr>
          <w:rFonts w:ascii="Times New Roman" w:eastAsia="Times New Roman" w:hAnsi="Times New Roman" w:cs="Times New Roman"/>
        </w:rPr>
      </w:pPr>
      <w:r w:rsidRPr="003E6A94">
        <w:rPr>
          <w:rFonts w:ascii="Times New Roman" w:eastAsia="Times New Roman" w:hAnsi="Times New Roman" w:cs="Times New Roman"/>
        </w:rPr>
        <w:t>Describe how the selected secondary sources and theoretical approach will support an original literary argument on works of global literature</w:t>
      </w:r>
    </w:p>
    <w:p w14:paraId="42A39114" w14:textId="77777777" w:rsidR="003E6A94" w:rsidRDefault="003E6A94" w:rsidP="003C0B5B">
      <w:pPr>
        <w:outlineLvl w:val="2"/>
        <w:rPr>
          <w:rFonts w:ascii="Times New Roman" w:eastAsia="Times New Roman" w:hAnsi="Times New Roman" w:cs="Times New Roman"/>
          <w:b/>
          <w:bCs/>
        </w:rPr>
      </w:pPr>
    </w:p>
    <w:p w14:paraId="180192D8" w14:textId="77777777" w:rsidR="003E6A94" w:rsidRDefault="003E6A94" w:rsidP="003C0B5B">
      <w:pPr>
        <w:outlineLvl w:val="2"/>
        <w:rPr>
          <w:rFonts w:ascii="Times New Roman" w:eastAsia="Times New Roman" w:hAnsi="Times New Roman" w:cs="Times New Roman"/>
          <w:b/>
          <w:bCs/>
        </w:rPr>
      </w:pPr>
      <w:r w:rsidRPr="003E6A94">
        <w:rPr>
          <w:rFonts w:ascii="Times New Roman" w:eastAsia="Times New Roman" w:hAnsi="Times New Roman" w:cs="Times New Roman"/>
          <w:b/>
          <w:bCs/>
        </w:rPr>
        <w:t>Reading and Resources</w:t>
      </w:r>
    </w:p>
    <w:p w14:paraId="0F6B3580" w14:textId="77777777" w:rsidR="003E6A94" w:rsidRDefault="003E6A94" w:rsidP="003C0B5B">
      <w:pPr>
        <w:outlineLvl w:val="2"/>
        <w:rPr>
          <w:rFonts w:ascii="Times New Roman" w:hAnsi="Times New Roman" w:cs="Times New Roman"/>
        </w:rPr>
      </w:pPr>
      <w:r w:rsidRPr="003E6A94">
        <w:rPr>
          <w:rFonts w:ascii="Times New Roman" w:hAnsi="Times New Roman" w:cs="Times New Roman"/>
          <w:i/>
          <w:iCs/>
        </w:rPr>
        <w:t>Norton Anthology of World Literature</w:t>
      </w:r>
      <w:r>
        <w:rPr>
          <w:rFonts w:ascii="Times New Roman" w:hAnsi="Times New Roman" w:cs="Times New Roman"/>
          <w:iCs/>
        </w:rPr>
        <w:t>, Vol. F</w:t>
      </w:r>
      <w:r w:rsidRPr="003E6A94">
        <w:rPr>
          <w:rFonts w:ascii="Times New Roman" w:hAnsi="Times New Roman" w:cs="Times New Roman"/>
        </w:rPr>
        <w:br/>
        <w:t xml:space="preserve">Clarice </w:t>
      </w:r>
      <w:proofErr w:type="spellStart"/>
      <w:r w:rsidRPr="003E6A94">
        <w:rPr>
          <w:rFonts w:ascii="Times New Roman" w:hAnsi="Times New Roman" w:cs="Times New Roman"/>
        </w:rPr>
        <w:t>Lispector</w:t>
      </w:r>
      <w:proofErr w:type="spellEnd"/>
      <w:r w:rsidRPr="003E6A94">
        <w:rPr>
          <w:rFonts w:ascii="Times New Roman" w:hAnsi="Times New Roman" w:cs="Times New Roman"/>
        </w:rPr>
        <w:t>, “Diary of a Drunk Woman”</w:t>
      </w:r>
      <w:r w:rsidRPr="003E6A94">
        <w:rPr>
          <w:rFonts w:ascii="PMingLiU" w:eastAsia="PMingLiU" w:hAnsi="PMingLiU" w:cs="PMingLiU"/>
        </w:rPr>
        <w:br/>
      </w:r>
      <w:proofErr w:type="spellStart"/>
      <w:r w:rsidRPr="003E6A94">
        <w:rPr>
          <w:rFonts w:ascii="Times New Roman" w:hAnsi="Times New Roman" w:cs="Times New Roman"/>
        </w:rPr>
        <w:t>Nawal</w:t>
      </w:r>
      <w:proofErr w:type="spellEnd"/>
      <w:r w:rsidRPr="003E6A94">
        <w:rPr>
          <w:rFonts w:ascii="Times New Roman" w:hAnsi="Times New Roman" w:cs="Times New Roman"/>
        </w:rPr>
        <w:t xml:space="preserve"> El </w:t>
      </w:r>
      <w:proofErr w:type="spellStart"/>
      <w:r w:rsidRPr="003E6A94">
        <w:rPr>
          <w:rFonts w:ascii="Times New Roman" w:hAnsi="Times New Roman" w:cs="Times New Roman"/>
        </w:rPr>
        <w:t>Saadawi</w:t>
      </w:r>
      <w:proofErr w:type="spellEnd"/>
      <w:r w:rsidRPr="003E6A94">
        <w:rPr>
          <w:rFonts w:ascii="Times New Roman" w:hAnsi="Times New Roman" w:cs="Times New Roman"/>
        </w:rPr>
        <w:t>, “In Camera”</w:t>
      </w:r>
      <w:r w:rsidRPr="003E6A94">
        <w:rPr>
          <w:rFonts w:ascii="PMingLiU" w:eastAsia="PMingLiU" w:hAnsi="PMingLiU" w:cs="PMingLiU"/>
        </w:rPr>
        <w:br/>
      </w:r>
      <w:proofErr w:type="spellStart"/>
      <w:r w:rsidRPr="003E6A94">
        <w:rPr>
          <w:rFonts w:ascii="Times New Roman" w:hAnsi="Times New Roman" w:cs="Times New Roman"/>
        </w:rPr>
        <w:t>Mahasweta</w:t>
      </w:r>
      <w:proofErr w:type="spellEnd"/>
      <w:r w:rsidRPr="003E6A94">
        <w:rPr>
          <w:rFonts w:ascii="Times New Roman" w:hAnsi="Times New Roman" w:cs="Times New Roman"/>
        </w:rPr>
        <w:t xml:space="preserve"> Devi, “</w:t>
      </w:r>
      <w:proofErr w:type="spellStart"/>
      <w:r w:rsidRPr="003E6A94">
        <w:rPr>
          <w:rFonts w:ascii="Times New Roman" w:hAnsi="Times New Roman" w:cs="Times New Roman"/>
        </w:rPr>
        <w:t>Giribala</w:t>
      </w:r>
      <w:proofErr w:type="spellEnd"/>
      <w:r w:rsidRPr="003E6A94">
        <w:rPr>
          <w:rFonts w:ascii="Times New Roman" w:hAnsi="Times New Roman" w:cs="Times New Roman"/>
        </w:rPr>
        <w:t>”</w:t>
      </w:r>
      <w:r w:rsidRPr="003E6A94">
        <w:rPr>
          <w:rFonts w:ascii="PMingLiU" w:eastAsia="PMingLiU" w:hAnsi="PMingLiU" w:cs="PMingLiU"/>
        </w:rPr>
        <w:br/>
      </w:r>
    </w:p>
    <w:p w14:paraId="1636AC79" w14:textId="642BA38E" w:rsidR="003E6A94" w:rsidRDefault="003E6A94" w:rsidP="003C0B5B">
      <w:pPr>
        <w:outlineLvl w:val="2"/>
        <w:rPr>
          <w:rFonts w:ascii="Times New Roman" w:hAnsi="Times New Roman" w:cs="Times New Roman"/>
        </w:rPr>
      </w:pPr>
      <w:r w:rsidRPr="003E6A94">
        <w:rPr>
          <w:rFonts w:ascii="Times New Roman" w:hAnsi="Times New Roman" w:cs="Times New Roman"/>
        </w:rPr>
        <w:t>These three short stories allow us to continue our discussion of representations of women in three different contexts.</w:t>
      </w:r>
    </w:p>
    <w:p w14:paraId="792E6875" w14:textId="77777777" w:rsidR="003C0B5B" w:rsidRDefault="003C0B5B" w:rsidP="003C0B5B">
      <w:pPr>
        <w:outlineLvl w:val="2"/>
        <w:rPr>
          <w:rFonts w:ascii="Times New Roman" w:hAnsi="Times New Roman" w:cs="Times New Roman"/>
        </w:rPr>
      </w:pPr>
    </w:p>
    <w:p w14:paraId="12D78985" w14:textId="71C364FE" w:rsidR="003C0B5B" w:rsidRPr="003C0B5B" w:rsidRDefault="003C0B5B" w:rsidP="003C0B5B">
      <w:pPr>
        <w:pStyle w:val="NormalWeb"/>
        <w:spacing w:before="0" w:beforeAutospacing="0" w:after="0" w:afterAutospacing="0"/>
        <w:rPr>
          <w:b/>
        </w:rPr>
      </w:pPr>
      <w:r>
        <w:rPr>
          <w:b/>
        </w:rPr>
        <w:t>Module Overview</w:t>
      </w:r>
    </w:p>
    <w:p w14:paraId="2C532F3B" w14:textId="3145CBAB" w:rsidR="003C0B5B" w:rsidRDefault="003C0B5B" w:rsidP="003C0B5B">
      <w:pPr>
        <w:pStyle w:val="NormalWeb"/>
        <w:spacing w:before="0" w:beforeAutospacing="0" w:after="0" w:afterAutospacing="0"/>
        <w:ind w:firstLine="720"/>
      </w:pPr>
      <w:r>
        <w:t>In the last module, we explored the role of the female protagonist, emphasizing the complex power dynamics at play as they manifest along lines of gender, race, age, and class. An important aspect of this power dynamic was the long-established image of colonized territories as staging sites for the European woman’s expression of autonomy. In the colonies, the story goes, a white woman could experience a freedom she could never enjoy in Europe. In this module, we will continue our examination of gender and power dynamics. This module examines three texts by female authors presenting extreme examples of female protagonists whose lives appear almost entirely contained within male-dominated power structures. From the brutal depiction of a female character’s imprisonment and</w:t>
      </w:r>
      <w:r>
        <w:t xml:space="preserve"> torture in </w:t>
      </w:r>
      <w:proofErr w:type="spellStart"/>
      <w:r>
        <w:t>Nawal</w:t>
      </w:r>
      <w:proofErr w:type="spellEnd"/>
      <w:r>
        <w:t xml:space="preserve"> El </w:t>
      </w:r>
      <w:proofErr w:type="spellStart"/>
      <w:r>
        <w:t>Saadawi’s</w:t>
      </w:r>
      <w:proofErr w:type="spellEnd"/>
      <w:r>
        <w:t xml:space="preserve"> “In Camera”</w:t>
      </w:r>
      <w:r>
        <w:t xml:space="preserve"> to the circumscribed life of C</w:t>
      </w:r>
      <w:r>
        <w:t xml:space="preserve">larice </w:t>
      </w:r>
      <w:proofErr w:type="spellStart"/>
      <w:r>
        <w:t>Lispector’s</w:t>
      </w:r>
      <w:proofErr w:type="spellEnd"/>
      <w:r>
        <w:t xml:space="preserve"> narrator in “</w:t>
      </w:r>
      <w:r>
        <w:t>Daydreams of a Drunk Woman</w:t>
      </w:r>
      <w:r>
        <w:t>,”</w:t>
      </w:r>
      <w:r>
        <w:t xml:space="preserve"> and the overtly patriar</w:t>
      </w:r>
      <w:r>
        <w:t xml:space="preserve">chal world of </w:t>
      </w:r>
      <w:proofErr w:type="spellStart"/>
      <w:r>
        <w:t>Mahasweta</w:t>
      </w:r>
      <w:proofErr w:type="spellEnd"/>
      <w:r>
        <w:t xml:space="preserve"> Devi’s “</w:t>
      </w:r>
      <w:proofErr w:type="spellStart"/>
      <w:r>
        <w:t>Giribala</w:t>
      </w:r>
      <w:proofErr w:type="spellEnd"/>
      <w:r>
        <w:t>,”</w:t>
      </w:r>
      <w:r>
        <w:t xml:space="preserve"> this week</w:t>
      </w:r>
      <w:r>
        <w:t>,</w:t>
      </w:r>
      <w:r>
        <w:t xml:space="preserve"> we encounter female characters whose possibilities for agency and autonomy seem radically limited. Yet, each author insists on showing us the possibilities for resistance to power that burst through the cracks of each story’s male-dominated world.</w:t>
      </w:r>
    </w:p>
    <w:p w14:paraId="4301F77B" w14:textId="77777777" w:rsidR="003C0B5B" w:rsidRDefault="003C0B5B" w:rsidP="003C0B5B">
      <w:pPr>
        <w:pStyle w:val="NormalWeb"/>
        <w:spacing w:before="0" w:beforeAutospacing="0" w:after="0" w:afterAutospacing="0"/>
      </w:pPr>
    </w:p>
    <w:p w14:paraId="0E47B391" w14:textId="5E1BAFE3" w:rsidR="003C0B5B" w:rsidRDefault="003C0B5B" w:rsidP="003C0B5B">
      <w:pPr>
        <w:pStyle w:val="NormalWeb"/>
        <w:spacing w:before="0" w:beforeAutospacing="0" w:after="0" w:afterAutospacing="0"/>
        <w:ind w:firstLine="720"/>
      </w:pPr>
      <w:r>
        <w:t xml:space="preserve">In his 1993 book </w:t>
      </w:r>
      <w:r>
        <w:rPr>
          <w:rStyle w:val="Emphasis"/>
        </w:rPr>
        <w:t>The Rhetoric of Empire</w:t>
      </w:r>
      <w:r>
        <w:t xml:space="preserve">, David </w:t>
      </w:r>
      <w:proofErr w:type="spellStart"/>
      <w:r>
        <w:t>Spurr</w:t>
      </w:r>
      <w:proofErr w:type="spellEnd"/>
      <w:r>
        <w:t xml:space="preserve"> outlines and analyzes a number of distinct moves common to the discourse of imperialism as it seeks to define and dominate the colon</w:t>
      </w:r>
      <w:r>
        <w:t>ial “other.”</w:t>
      </w:r>
      <w:r>
        <w:t xml:space="preserve"> Among these moves, </w:t>
      </w:r>
      <w:proofErr w:type="spellStart"/>
      <w:r>
        <w:t>Spurr</w:t>
      </w:r>
      <w:proofErr w:type="spellEnd"/>
      <w:r>
        <w:t xml:space="preserve"> argues, is the invocation of a </w:t>
      </w:r>
      <w:proofErr w:type="spellStart"/>
      <w:r>
        <w:t>primitivist</w:t>
      </w:r>
      <w:proofErr w:type="spellEnd"/>
      <w:r>
        <w:t xml:space="preserve"> framework in which the colonized subject is made to represent the undomesticated forces of nature, exemplifying either a de-evolutionary regression to a pre-civilized state or a cultural stasis, in which the colonized other is seen to represent an early stage of human/social evolution—a sort of living fossil of human origins. It is not surprising, therefore, that gender relationships in this era </w:t>
      </w:r>
      <w:r>
        <w:lastRenderedPageBreak/>
        <w:t>operate along a similar binary opposition. Indeed, the colonizer/colonized relation finds a corollary in the male/female binary. While the (European) male represents, ideologically, the forces of culture (and specifically of post-Enlightenment positivist rationalism), the female embodies the undifferentiated forces of nature. She is a primitive agent that pre-exists (and threatens) civilization. In Freudian theory, she is the embodiment that predates language, representing physical sensation as well as embodied needs and urges.</w:t>
      </w:r>
    </w:p>
    <w:p w14:paraId="3D7FFD4E" w14:textId="77777777" w:rsidR="003C0B5B" w:rsidRDefault="003C0B5B" w:rsidP="003C0B5B">
      <w:pPr>
        <w:pStyle w:val="NormalWeb"/>
        <w:spacing w:before="0" w:beforeAutospacing="0" w:after="0" w:afterAutospacing="0"/>
      </w:pPr>
    </w:p>
    <w:p w14:paraId="6FC07FF0" w14:textId="27C80638" w:rsidR="003C0B5B" w:rsidRDefault="003C0B5B" w:rsidP="003C0B5B">
      <w:pPr>
        <w:pStyle w:val="NormalWeb"/>
        <w:spacing w:before="0" w:beforeAutospacing="0" w:after="0" w:afterAutospacing="0"/>
        <w:ind w:firstLine="720"/>
      </w:pPr>
      <w:r>
        <w:t>In light of this history of imperialist discourse, it is important to note the emphasis in this week’s short stories on physical experience. The examples in this module undermine rationalist discourses of a disembodied masculine subject free to carry out the will and judgment of male reason without bodily limits. Enlightenment discourses grounded in positivist rationalism tended to disavow the physical body in excha</w:t>
      </w:r>
      <w:r>
        <w:t>nge for a subject-self that is “pure mind”</w:t>
      </w:r>
      <w:r>
        <w:t xml:space="preserve">: an autonomous, rational self that is purified of the contaminating influences of the corruptible body. Importantly, this Enlightenment subject-self is in almost every instance seen as </w:t>
      </w:r>
      <w:r>
        <w:t xml:space="preserve">male. By contrast, </w:t>
      </w:r>
      <w:proofErr w:type="spellStart"/>
      <w:r>
        <w:t>Lispector’s</w:t>
      </w:r>
      <w:proofErr w:type="spellEnd"/>
      <w:r>
        <w:t xml:space="preserve"> “The Daydreams of a </w:t>
      </w:r>
      <w:proofErr w:type="spellStart"/>
      <w:r>
        <w:t>Drunkwoman</w:t>
      </w:r>
      <w:proofErr w:type="spellEnd"/>
      <w:r>
        <w:t>”</w:t>
      </w:r>
      <w:r>
        <w:t xml:space="preserve"> f</w:t>
      </w:r>
      <w:r>
        <w:t>ocuses on what is described as “</w:t>
      </w:r>
      <w:r>
        <w:t xml:space="preserve">that perversity of someone who has </w:t>
      </w:r>
      <w:r>
        <w:t xml:space="preserve">a body” </w:t>
      </w:r>
      <w:r>
        <w:t xml:space="preserve">(812), a female body seen as decadent and threatening from the point of view of the Enlightenment male subject due to its perverse </w:t>
      </w:r>
      <w:proofErr w:type="spellStart"/>
      <w:r>
        <w:t>uncontainability</w:t>
      </w:r>
      <w:proofErr w:type="spellEnd"/>
      <w:r>
        <w:t>. So too, one of t</w:t>
      </w:r>
      <w:r>
        <w:t>he central conflicts in Devi’s “</w:t>
      </w:r>
      <w:proofErr w:type="spellStart"/>
      <w:r>
        <w:t>Giribala</w:t>
      </w:r>
      <w:proofErr w:type="spellEnd"/>
      <w:r>
        <w:t>”</w:t>
      </w:r>
      <w:r>
        <w:t xml:space="preserve"> stems from </w:t>
      </w:r>
      <w:proofErr w:type="spellStart"/>
      <w:r>
        <w:t>Giri’s</w:t>
      </w:r>
      <w:proofErr w:type="spellEnd"/>
      <w:r>
        <w:t xml:space="preserve"> decision to be sterilized after the birth of her fourth child, a choice to exert control over her own body without her husband </w:t>
      </w:r>
      <w:proofErr w:type="spellStart"/>
      <w:r>
        <w:t>Aulchand’s</w:t>
      </w:r>
      <w:proofErr w:type="spellEnd"/>
      <w:r>
        <w:t xml:space="preserve"> knowledge or approval.</w:t>
      </w:r>
    </w:p>
    <w:p w14:paraId="72256815" w14:textId="77777777" w:rsidR="003C0B5B" w:rsidRDefault="003C0B5B" w:rsidP="003C0B5B">
      <w:pPr>
        <w:pStyle w:val="NormalWeb"/>
        <w:spacing w:before="0" w:beforeAutospacing="0" w:after="0" w:afterAutospacing="0"/>
        <w:ind w:firstLine="720"/>
      </w:pPr>
    </w:p>
    <w:p w14:paraId="46F91838" w14:textId="77777777" w:rsidR="003C0B5B" w:rsidRDefault="003C0B5B" w:rsidP="003C0B5B">
      <w:pPr>
        <w:pStyle w:val="NormalWeb"/>
        <w:spacing w:before="0" w:beforeAutospacing="0" w:after="0" w:afterAutospacing="0"/>
        <w:ind w:firstLine="720"/>
      </w:pPr>
      <w:r>
        <w:t xml:space="preserve">Indeed, themes of embodiment and the body that we have considered in previous modules are especially relevant for this week’s readings. In the previous modules, from </w:t>
      </w:r>
      <w:proofErr w:type="spellStart"/>
      <w:r>
        <w:t>Aschenbach’s</w:t>
      </w:r>
      <w:proofErr w:type="spellEnd"/>
      <w:r>
        <w:t xml:space="preserve"> decadent and decaying body to </w:t>
      </w:r>
      <w:proofErr w:type="spellStart"/>
      <w:r>
        <w:t>Gregor</w:t>
      </w:r>
      <w:proofErr w:type="spellEnd"/>
      <w:r>
        <w:t xml:space="preserve"> </w:t>
      </w:r>
      <w:proofErr w:type="spellStart"/>
      <w:r>
        <w:t>Samsa’s</w:t>
      </w:r>
      <w:proofErr w:type="spellEnd"/>
      <w:r>
        <w:t xml:space="preserve"> sudden transformation into an insect, the loss of bodily control represents a paramount threat to the male ego (not to mention, we might add, Lu </w:t>
      </w:r>
      <w:proofErr w:type="spellStart"/>
      <w:r>
        <w:t>Xun’s</w:t>
      </w:r>
      <w:proofErr w:type="spellEnd"/>
      <w:r>
        <w:t xml:space="preserve"> madman’s fear of cannibalism, or the terrifying spider-tattoo that comes to life on the body of femme fatale). Now, in the works for this week, we see female characters whose own uncontainable embodiment represents an active protest against male power and authority, from the intoxication of </w:t>
      </w:r>
      <w:proofErr w:type="spellStart"/>
      <w:r>
        <w:t>Lispector’s</w:t>
      </w:r>
      <w:proofErr w:type="spellEnd"/>
      <w:r>
        <w:t xml:space="preserve"> narrator, to the simultaneous pleasure and discomfort in sitting experienced by El </w:t>
      </w:r>
      <w:proofErr w:type="spellStart"/>
      <w:r>
        <w:t>Saadawi’s</w:t>
      </w:r>
      <w:proofErr w:type="spellEnd"/>
      <w:r>
        <w:t xml:space="preserve"> Leila, and the exercise of reproductive freedom by Devi’s </w:t>
      </w:r>
      <w:proofErr w:type="spellStart"/>
      <w:r>
        <w:t>Giri</w:t>
      </w:r>
      <w:proofErr w:type="spellEnd"/>
      <w:r>
        <w:t>. You will have the opportunity to examine these topics in more detail in your discussion for this module.</w:t>
      </w:r>
    </w:p>
    <w:p w14:paraId="2016EA29" w14:textId="77777777" w:rsidR="003C0B5B" w:rsidRDefault="003C0B5B" w:rsidP="003C0B5B">
      <w:pPr>
        <w:pStyle w:val="NormalWeb"/>
        <w:spacing w:before="0" w:beforeAutospacing="0" w:after="0" w:afterAutospacing="0"/>
        <w:ind w:firstLine="720"/>
      </w:pPr>
    </w:p>
    <w:p w14:paraId="5D22E3E6" w14:textId="4B925234" w:rsidR="003C0B5B" w:rsidRDefault="003C0B5B" w:rsidP="003C0B5B">
      <w:pPr>
        <w:pStyle w:val="NormalWeb"/>
        <w:spacing w:before="0" w:beforeAutospacing="0" w:after="0" w:afterAutospacing="0"/>
        <w:ind w:firstLine="720"/>
      </w:pPr>
      <w:r>
        <w:t xml:space="preserve">In a groundbreaking essay that has become a foundational text in postcolonial studies, feminist postcolonial theorist </w:t>
      </w:r>
      <w:proofErr w:type="spellStart"/>
      <w:r>
        <w:t>Gay</w:t>
      </w:r>
      <w:r>
        <w:t>atri</w:t>
      </w:r>
      <w:proofErr w:type="spellEnd"/>
      <w:r>
        <w:t xml:space="preserve"> </w:t>
      </w:r>
      <w:proofErr w:type="spellStart"/>
      <w:r>
        <w:t>Spivak</w:t>
      </w:r>
      <w:proofErr w:type="spellEnd"/>
      <w:r>
        <w:t xml:space="preserve"> poses the question “Can the Subaltern Speak?”</w:t>
      </w:r>
      <w:r>
        <w:t xml:space="preserve"> Specifically, </w:t>
      </w:r>
      <w:proofErr w:type="spellStart"/>
      <w:r>
        <w:t>Spivak’s</w:t>
      </w:r>
      <w:proofErr w:type="spellEnd"/>
      <w:r>
        <w:t xml:space="preserve"> essay raises the example of the British colonization of India, during which British rule was justified in part as necessary to curb traditions such as </w:t>
      </w:r>
      <w:r>
        <w:rPr>
          <w:rStyle w:val="Emphasis"/>
        </w:rPr>
        <w:t>sati</w:t>
      </w:r>
      <w:r>
        <w:t>, a widow’s immolation on the funeral pyre of her h</w:t>
      </w:r>
      <w:r>
        <w:t xml:space="preserve">usband. In </w:t>
      </w:r>
      <w:proofErr w:type="spellStart"/>
      <w:r>
        <w:t>Spivak’s</w:t>
      </w:r>
      <w:proofErr w:type="spellEnd"/>
      <w:r>
        <w:t xml:space="preserve"> usage, the “subaltern”</w:t>
      </w:r>
      <w:r>
        <w:t xml:space="preserve"> refers to the so-called third-world or formerly colonized subject without a voice in hegemonic discourses of Western modernity. To pose the question of whether the subaltern can speak is to ask how do the voiceless attain a voice in a world-system that is in part founded not only on their exclusion, but also on discourses that purport to speak in their place, exemplified by the pretenses of British imperialists to speak on behalf of the immolated widow of </w:t>
      </w:r>
      <w:r>
        <w:rPr>
          <w:rStyle w:val="Emphasis"/>
        </w:rPr>
        <w:t>sati</w:t>
      </w:r>
      <w:r>
        <w:t>.</w:t>
      </w:r>
    </w:p>
    <w:p w14:paraId="2A21FC8A" w14:textId="77777777" w:rsidR="003C0B5B" w:rsidRDefault="003C0B5B" w:rsidP="003C0B5B">
      <w:pPr>
        <w:pStyle w:val="NormalWeb"/>
        <w:spacing w:before="0" w:beforeAutospacing="0" w:after="0" w:afterAutospacing="0"/>
        <w:ind w:firstLine="720"/>
      </w:pPr>
    </w:p>
    <w:p w14:paraId="1E8DDA4E" w14:textId="0902EA32" w:rsidR="003C0B5B" w:rsidRDefault="003C0B5B" w:rsidP="003C0B5B">
      <w:pPr>
        <w:pStyle w:val="NormalWeb"/>
        <w:spacing w:before="0" w:beforeAutospacing="0" w:after="0" w:afterAutospacing="0"/>
        <w:ind w:firstLine="720"/>
      </w:pPr>
      <w:r>
        <w:t xml:space="preserve">Each of the stories in this week’s readings raises the very question of the subaltern subject posed by </w:t>
      </w:r>
      <w:proofErr w:type="spellStart"/>
      <w:r>
        <w:t>Spivak</w:t>
      </w:r>
      <w:proofErr w:type="spellEnd"/>
      <w:r>
        <w:t xml:space="preserve">: how the voiceless can attain a voice. Perhaps the most extreme example in this week’s readings is that of El </w:t>
      </w:r>
      <w:proofErr w:type="spellStart"/>
      <w:r>
        <w:t>Saadawi’s</w:t>
      </w:r>
      <w:proofErr w:type="spellEnd"/>
      <w:r>
        <w:t xml:space="preserve"> Leila, whose body is subject to violence and constraint in a</w:t>
      </w:r>
      <w:r>
        <w:t>lmost every sense conceivable: “</w:t>
      </w:r>
      <w:r>
        <w:t>Her tongue, her eyes, her mouth, her nose, all the parts of her body, were constrain</w:t>
      </w:r>
      <w:r>
        <w:t>ed. Her body was no longer hers”</w:t>
      </w:r>
      <w:r>
        <w:t xml:space="preserve"> (1106). This story is narrated in the third person, meaning that even at the level of narration, Leila does not gain a voice of her own but rather is spoken for by an external narrator throughout the entire text. Still, the story ends when the judges are forced to conclude the trial in embarrassment. The very attempt to speak on Leila’s behalf by repeating her own words back to her undermines the judges’ own authority, turning Leila’s own uncomfortably embodied presence in the courtroom into a powerful example of resistance to patriarchy.</w:t>
      </w:r>
    </w:p>
    <w:p w14:paraId="74E20535" w14:textId="77777777" w:rsidR="003C0B5B" w:rsidRDefault="003C0B5B" w:rsidP="003C0B5B">
      <w:pPr>
        <w:pStyle w:val="NormalWeb"/>
        <w:spacing w:before="0" w:beforeAutospacing="0" w:after="0" w:afterAutospacing="0"/>
        <w:ind w:firstLine="720"/>
      </w:pPr>
    </w:p>
    <w:p w14:paraId="42FC9D74" w14:textId="10D7A94D" w:rsidR="003C0B5B" w:rsidRDefault="003C0B5B" w:rsidP="003C0B5B">
      <w:pPr>
        <w:pStyle w:val="NormalWeb"/>
        <w:spacing w:before="0" w:beforeAutospacing="0" w:after="0" w:afterAutospacing="0"/>
        <w:ind w:firstLine="720"/>
      </w:pPr>
      <w:r>
        <w:t xml:space="preserve">In the previous modules, we have looked at texts from the center of European modernity, from the periphery of imperialism, as well as from areas of the globe that avoided direct European colonization. With the example of </w:t>
      </w:r>
      <w:proofErr w:type="spellStart"/>
      <w:r>
        <w:t>Lispector</w:t>
      </w:r>
      <w:proofErr w:type="spellEnd"/>
      <w:r>
        <w:t xml:space="preserve"> (from Brazil), as well as next week’s reading from Gabriel </w:t>
      </w:r>
      <w:proofErr w:type="spellStart"/>
      <w:r>
        <w:t>García</w:t>
      </w:r>
      <w:proofErr w:type="spellEnd"/>
      <w:r>
        <w:t xml:space="preserve"> </w:t>
      </w:r>
      <w:proofErr w:type="spellStart"/>
      <w:r>
        <w:t>Márquez</w:t>
      </w:r>
      <w:proofErr w:type="spellEnd"/>
      <w:r>
        <w:t xml:space="preserve"> (from Colombia)</w:t>
      </w:r>
      <w:r>
        <w:rPr>
          <w:rStyle w:val="Emphasis"/>
        </w:rPr>
        <w:t xml:space="preserve">, </w:t>
      </w:r>
      <w:r>
        <w:t>we begin to consider Latin American postmodernism and magical realism. It is important to keep in mind that modernity and postmodernity are global phenome</w:t>
      </w:r>
      <w:r>
        <w:t>na to which nearly all authors “write back”</w:t>
      </w:r>
      <w:r>
        <w:t xml:space="preserve"> in one way or another. (The exact line between modernity and postmodernity, if there is one, continues to be a topic of active debate among scholars.) The special case of Latin America (especially Brazil) in relation to imperialism and colonialism is nowhere more evident than in </w:t>
      </w:r>
      <w:proofErr w:type="spellStart"/>
      <w:r>
        <w:t>Lispector’s</w:t>
      </w:r>
      <w:proofErr w:type="spellEnd"/>
      <w:r>
        <w:t xml:space="preserve"> story. Ironically enough, the narrator is identified as a poor European immigrant from the former colonizer, Portugal, and the text is filled with references to Brazil’s own revolutionary history. In the works of many of Latin America’s most celebrated authors, we can already see the weaving together of Eu</w:t>
      </w:r>
      <w:r>
        <w:t>ropean high modernism with the “writing back”</w:t>
      </w:r>
      <w:r>
        <w:t xml:space="preserve"> or resistance to modernity’s hegemonic narratives that is characteristic of postcolonial and postmodern literature.</w:t>
      </w:r>
    </w:p>
    <w:p w14:paraId="2B107A2F" w14:textId="77777777" w:rsidR="003C0B5B" w:rsidRDefault="003C0B5B" w:rsidP="003C0B5B">
      <w:pPr>
        <w:pStyle w:val="NormalWeb"/>
        <w:spacing w:before="0" w:beforeAutospacing="0" w:after="0" w:afterAutospacing="0"/>
        <w:ind w:firstLine="720"/>
      </w:pPr>
    </w:p>
    <w:p w14:paraId="7031510A" w14:textId="77777777" w:rsidR="003C0B5B" w:rsidRDefault="003C0B5B" w:rsidP="003C0B5B">
      <w:pPr>
        <w:pStyle w:val="NormalWeb"/>
        <w:spacing w:before="0" w:beforeAutospacing="0" w:after="0" w:afterAutospacing="0"/>
        <w:ind w:firstLine="720"/>
      </w:pPr>
      <w:r>
        <w:t xml:space="preserve">Questions of embodiment and the depiction of the body become even more urgent in global literature written after the postcolonial moment. This and previous modules have covered the network of associations discharged through the iconographies of gender and of empire, with both the colonized other and the feminine invoking the natural world and its attendant associations with primitivism (either atavistic or static). As we have discussed, Enlightenment-based discourses of the subject-self, which lie at the heart of the European imperial project, are grounded in a premise of pure mind, of unfettered reason. The insistence of the body and its intrusion on the subject-self undermine the integrity of pure mind, threatening the existence of the Enlightenment subject. In the final texts of the class, </w:t>
      </w:r>
      <w:proofErr w:type="spellStart"/>
      <w:r>
        <w:t>García</w:t>
      </w:r>
      <w:proofErr w:type="spellEnd"/>
      <w:r>
        <w:t xml:space="preserve"> </w:t>
      </w:r>
      <w:proofErr w:type="spellStart"/>
      <w:r>
        <w:t>Márquez’s</w:t>
      </w:r>
      <w:proofErr w:type="spellEnd"/>
      <w:r>
        <w:t xml:space="preserve"> </w:t>
      </w:r>
      <w:r>
        <w:rPr>
          <w:rStyle w:val="Emphasis"/>
        </w:rPr>
        <w:t xml:space="preserve">Love in the Time of Cholera </w:t>
      </w:r>
      <w:r>
        <w:t xml:space="preserve">and Haruki Murakami’s </w:t>
      </w:r>
      <w:r>
        <w:rPr>
          <w:rStyle w:val="Emphasis"/>
        </w:rPr>
        <w:t>Norwegian Wood</w:t>
      </w:r>
      <w:r>
        <w:t>, we will see additional examples of how the intrusive body, and the unraveling of embodied experience, reflect the instabilities of both modernity and its successor, the new, postmodern world of globalization.</w:t>
      </w:r>
    </w:p>
    <w:p w14:paraId="2F043E8E" w14:textId="77777777" w:rsidR="003C0B5B" w:rsidRDefault="003C0B5B" w:rsidP="003C0B5B">
      <w:pPr>
        <w:pStyle w:val="NormalWeb"/>
        <w:spacing w:before="0" w:beforeAutospacing="0" w:after="0" w:afterAutospacing="0"/>
      </w:pPr>
    </w:p>
    <w:p w14:paraId="538FA8C5" w14:textId="77777777" w:rsidR="003C0B5B" w:rsidRDefault="003C0B5B">
      <w:pPr>
        <w:rPr>
          <w:rFonts w:ascii="Times New Roman" w:hAnsi="Times New Roman" w:cs="Times New Roman"/>
        </w:rPr>
      </w:pPr>
      <w:r>
        <w:br w:type="page"/>
      </w:r>
    </w:p>
    <w:p w14:paraId="2EFEEE09" w14:textId="50E09A63" w:rsidR="003C0B5B" w:rsidRDefault="003C0B5B" w:rsidP="003C0B5B">
      <w:pPr>
        <w:pStyle w:val="NormalWeb"/>
        <w:spacing w:before="0" w:beforeAutospacing="0" w:after="0" w:afterAutospacing="0"/>
        <w:jc w:val="center"/>
      </w:pPr>
      <w:r>
        <w:t>Works Cited</w:t>
      </w:r>
    </w:p>
    <w:p w14:paraId="053C5602" w14:textId="77777777" w:rsidR="003C0B5B" w:rsidRDefault="003C0B5B" w:rsidP="003C0B5B">
      <w:pPr>
        <w:pStyle w:val="NormalWeb"/>
        <w:spacing w:before="0" w:beforeAutospacing="0" w:after="0" w:afterAutospacing="0"/>
        <w:jc w:val="center"/>
      </w:pPr>
    </w:p>
    <w:p w14:paraId="04FE9D6C" w14:textId="0CA2618A" w:rsidR="003C0B5B" w:rsidRDefault="003C0B5B" w:rsidP="003C0B5B">
      <w:pPr>
        <w:pStyle w:val="NormalWeb"/>
        <w:spacing w:before="0" w:beforeAutospacing="0" w:after="0" w:afterAutospacing="0"/>
        <w:ind w:hanging="960"/>
      </w:pPr>
      <w:proofErr w:type="spellStart"/>
      <w:r>
        <w:t>Lispector</w:t>
      </w:r>
      <w:proofErr w:type="spellEnd"/>
      <w:r>
        <w:t>, Clarice. “The Daydreams of a Drunk Woman.”</w:t>
      </w:r>
      <w:r>
        <w:t xml:space="preserve"> </w:t>
      </w:r>
      <w:r>
        <w:rPr>
          <w:rStyle w:val="Emphasis"/>
        </w:rPr>
        <w:t>The Norton Anthology of World Literature</w:t>
      </w:r>
      <w:r>
        <w:t xml:space="preserve">. Volume F. Third Edition. Ed. Martin </w:t>
      </w:r>
      <w:proofErr w:type="spellStart"/>
      <w:r>
        <w:t>Puchner</w:t>
      </w:r>
      <w:proofErr w:type="spellEnd"/>
      <w:r>
        <w:t>. New York: Norton, 2012. 809–814. Print.</w:t>
      </w:r>
    </w:p>
    <w:p w14:paraId="62274480" w14:textId="77777777" w:rsidR="003C0B5B" w:rsidRDefault="003C0B5B" w:rsidP="003C0B5B">
      <w:pPr>
        <w:pStyle w:val="NormalWeb"/>
        <w:spacing w:before="0" w:beforeAutospacing="0" w:after="0" w:afterAutospacing="0"/>
        <w:ind w:hanging="960"/>
      </w:pPr>
    </w:p>
    <w:p w14:paraId="36E9FD05" w14:textId="41BE4C8E" w:rsidR="003C0B5B" w:rsidRDefault="003C0B5B" w:rsidP="003C0B5B">
      <w:pPr>
        <w:pStyle w:val="NormalWeb"/>
        <w:spacing w:before="0" w:beforeAutospacing="0" w:after="0" w:afterAutospacing="0"/>
        <w:ind w:hanging="960"/>
      </w:pPr>
      <w:proofErr w:type="spellStart"/>
      <w:r>
        <w:t>Nawal</w:t>
      </w:r>
      <w:proofErr w:type="spellEnd"/>
      <w:r>
        <w:t xml:space="preserve"> El </w:t>
      </w:r>
      <w:proofErr w:type="spellStart"/>
      <w:r>
        <w:t>Saadawi</w:t>
      </w:r>
      <w:proofErr w:type="spellEnd"/>
      <w:r>
        <w:t>, “In Camera.”</w:t>
      </w:r>
      <w:r>
        <w:t xml:space="preserve"> </w:t>
      </w:r>
      <w:r>
        <w:rPr>
          <w:rStyle w:val="Emphasis"/>
        </w:rPr>
        <w:t>The Norton Anthology of World Literature</w:t>
      </w:r>
      <w:r>
        <w:t xml:space="preserve">. Volume F. Third Edition. Ed. Martin </w:t>
      </w:r>
      <w:proofErr w:type="spellStart"/>
      <w:r>
        <w:t>Puchner</w:t>
      </w:r>
      <w:proofErr w:type="spellEnd"/>
      <w:r>
        <w:t>. New York: Norton, 2012. 1106–1115. Print.</w:t>
      </w:r>
    </w:p>
    <w:p w14:paraId="177BD8E4" w14:textId="77777777" w:rsidR="003C0B5B" w:rsidRDefault="003C0B5B" w:rsidP="003C0B5B">
      <w:pPr>
        <w:pStyle w:val="NormalWeb"/>
        <w:spacing w:before="0" w:beforeAutospacing="0" w:after="0" w:afterAutospacing="0"/>
        <w:ind w:hanging="960"/>
      </w:pPr>
    </w:p>
    <w:p w14:paraId="28CC291F" w14:textId="5345E59C" w:rsidR="003C0B5B" w:rsidRDefault="003C0B5B" w:rsidP="008D473E">
      <w:pPr>
        <w:pStyle w:val="NormalWeb"/>
        <w:spacing w:before="0" w:beforeAutospacing="0" w:after="0" w:afterAutospacing="0"/>
        <w:ind w:hanging="960"/>
      </w:pPr>
      <w:proofErr w:type="spellStart"/>
      <w:r>
        <w:t>Spurr</w:t>
      </w:r>
      <w:proofErr w:type="spellEnd"/>
      <w:r>
        <w:t xml:space="preserve">, David. </w:t>
      </w:r>
      <w:r>
        <w:rPr>
          <w:rStyle w:val="Emphasis"/>
        </w:rPr>
        <w:t>The Rhetoric of Empire</w:t>
      </w:r>
      <w:r>
        <w:t>. Raleigh-Durham: Duke University Press, 1993. Print.</w:t>
      </w:r>
    </w:p>
    <w:p w14:paraId="3B86849D" w14:textId="77777777" w:rsidR="008D473E" w:rsidRDefault="008D473E" w:rsidP="008D473E">
      <w:pPr>
        <w:pStyle w:val="NormalWeb"/>
        <w:spacing w:before="0" w:beforeAutospacing="0" w:after="0" w:afterAutospacing="0"/>
        <w:ind w:hanging="960"/>
      </w:pPr>
    </w:p>
    <w:p w14:paraId="329A46F0" w14:textId="77777777" w:rsidR="008D473E" w:rsidRPr="003C0B5B" w:rsidRDefault="008D473E" w:rsidP="008D473E">
      <w:pPr>
        <w:pStyle w:val="NormalWeb"/>
        <w:spacing w:before="0" w:beforeAutospacing="0" w:after="0" w:afterAutospacing="0"/>
        <w:ind w:hanging="960"/>
      </w:pPr>
      <w:bookmarkStart w:id="0" w:name="_GoBack"/>
      <w:bookmarkEnd w:id="0"/>
    </w:p>
    <w:sectPr w:rsidR="008D473E" w:rsidRPr="003C0B5B" w:rsidSect="00B45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PMingLiU">
    <w:panose1 w:val="02020500000000000000"/>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DF6B61"/>
    <w:multiLevelType w:val="multilevel"/>
    <w:tmpl w:val="47F8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A94"/>
    <w:rsid w:val="0001205A"/>
    <w:rsid w:val="001553DB"/>
    <w:rsid w:val="003C0B5B"/>
    <w:rsid w:val="003E6A94"/>
    <w:rsid w:val="00791339"/>
    <w:rsid w:val="008D473E"/>
    <w:rsid w:val="00B45844"/>
    <w:rsid w:val="00F037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E0A690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E6A94"/>
  </w:style>
  <w:style w:type="paragraph" w:styleId="Heading3">
    <w:name w:val="heading 3"/>
    <w:basedOn w:val="Normal"/>
    <w:link w:val="Heading3Char"/>
    <w:uiPriority w:val="9"/>
    <w:qFormat/>
    <w:rsid w:val="003E6A94"/>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6A94"/>
    <w:rPr>
      <w:rFonts w:ascii="Times New Roman" w:hAnsi="Times New Roman" w:cs="Times New Roman"/>
      <w:b/>
      <w:bCs/>
      <w:sz w:val="27"/>
      <w:szCs w:val="27"/>
    </w:rPr>
  </w:style>
  <w:style w:type="paragraph" w:styleId="NormalWeb">
    <w:name w:val="Normal (Web)"/>
    <w:basedOn w:val="Normal"/>
    <w:uiPriority w:val="99"/>
    <w:unhideWhenUsed/>
    <w:rsid w:val="003E6A94"/>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3E6A94"/>
    <w:rPr>
      <w:b/>
      <w:bCs/>
    </w:rPr>
  </w:style>
  <w:style w:type="character" w:styleId="Emphasis">
    <w:name w:val="Emphasis"/>
    <w:basedOn w:val="DefaultParagraphFont"/>
    <w:uiPriority w:val="20"/>
    <w:qFormat/>
    <w:rsid w:val="003E6A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319673">
      <w:bodyDiv w:val="1"/>
      <w:marLeft w:val="0"/>
      <w:marRight w:val="0"/>
      <w:marTop w:val="0"/>
      <w:marBottom w:val="0"/>
      <w:divBdr>
        <w:top w:val="none" w:sz="0" w:space="0" w:color="auto"/>
        <w:left w:val="none" w:sz="0" w:space="0" w:color="auto"/>
        <w:bottom w:val="none" w:sz="0" w:space="0" w:color="auto"/>
        <w:right w:val="none" w:sz="0" w:space="0" w:color="auto"/>
      </w:divBdr>
      <w:divsChild>
        <w:div w:id="901253435">
          <w:marLeft w:val="0"/>
          <w:marRight w:val="0"/>
          <w:marTop w:val="0"/>
          <w:marBottom w:val="0"/>
          <w:divBdr>
            <w:top w:val="none" w:sz="0" w:space="0" w:color="auto"/>
            <w:left w:val="none" w:sz="0" w:space="0" w:color="auto"/>
            <w:bottom w:val="none" w:sz="0" w:space="0" w:color="auto"/>
            <w:right w:val="none" w:sz="0" w:space="0" w:color="auto"/>
          </w:divBdr>
        </w:div>
      </w:divsChild>
    </w:div>
    <w:div w:id="1308321914">
      <w:bodyDiv w:val="1"/>
      <w:marLeft w:val="0"/>
      <w:marRight w:val="0"/>
      <w:marTop w:val="0"/>
      <w:marBottom w:val="0"/>
      <w:divBdr>
        <w:top w:val="none" w:sz="0" w:space="0" w:color="auto"/>
        <w:left w:val="none" w:sz="0" w:space="0" w:color="auto"/>
        <w:bottom w:val="none" w:sz="0" w:space="0" w:color="auto"/>
        <w:right w:val="none" w:sz="0" w:space="0" w:color="auto"/>
      </w:divBdr>
      <w:divsChild>
        <w:div w:id="87454007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1530</Words>
  <Characters>8726</Characters>
  <Application>Microsoft Macintosh Word</Application>
  <DocSecurity>0</DocSecurity>
  <Lines>72</Lines>
  <Paragraphs>20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Module 5</vt:lpstr>
      <vt:lpstr>        </vt:lpstr>
      <vt:lpstr>        Learning Objectives</vt:lpstr>
      <vt:lpstr>        </vt:lpstr>
      <vt:lpstr>        Reading and Resources</vt:lpstr>
      <vt:lpstr>        Norton Anthology of World Literature, Vol. F Clarice Lispector, “Diary of a Drun</vt:lpstr>
      <vt:lpstr>        These three short stories allow us to continue our discussion of representations</vt:lpstr>
      <vt:lpstr>        </vt:lpstr>
      <vt:lpstr>        </vt:lpstr>
    </vt:vector>
  </TitlesOfParts>
  <LinksUpToDate>false</LinksUpToDate>
  <CharactersWithSpaces>10236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2018-11-01T23:15:00Z</dcterms:created>
  <dcterms:modified xsi:type="dcterms:W3CDTF">2018-11-01T23:40:00Z</dcterms:modified>
</cp:coreProperties>
</file>